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CD8B3" w14:textId="77777777" w:rsidR="00FD4D36" w:rsidRDefault="00FD4D36"/>
    <w:p w14:paraId="37411DA3" w14:textId="77777777" w:rsidR="000378A5" w:rsidRDefault="000378A5" w:rsidP="000E4D5E">
      <w:pPr>
        <w:jc w:val="center"/>
        <w:rPr>
          <w:b/>
        </w:rPr>
      </w:pPr>
    </w:p>
    <w:p w14:paraId="581AC437" w14:textId="77777777" w:rsidR="000378A5" w:rsidRDefault="000378A5" w:rsidP="000E4D5E">
      <w:pPr>
        <w:jc w:val="center"/>
        <w:rPr>
          <w:b/>
        </w:rPr>
      </w:pPr>
    </w:p>
    <w:p w14:paraId="757B9BC2" w14:textId="22136893" w:rsidR="00914122" w:rsidRPr="000E4D5E" w:rsidRDefault="00914122" w:rsidP="000E4D5E">
      <w:pPr>
        <w:jc w:val="center"/>
        <w:rPr>
          <w:b/>
        </w:rPr>
      </w:pPr>
      <w:r w:rsidRPr="000E4D5E">
        <w:rPr>
          <w:b/>
        </w:rPr>
        <w:t>The Great Lakes Event Questionnaire (GLEQ):</w:t>
      </w:r>
    </w:p>
    <w:p w14:paraId="5CA23F2A" w14:textId="77777777" w:rsidR="00FD4D36" w:rsidRPr="000E4D5E" w:rsidRDefault="00CD08E6" w:rsidP="000E4D5E">
      <w:pPr>
        <w:jc w:val="center"/>
        <w:rPr>
          <w:b/>
        </w:rPr>
      </w:pPr>
      <w:r w:rsidRPr="000E4D5E">
        <w:rPr>
          <w:b/>
        </w:rPr>
        <w:t xml:space="preserve">A </w:t>
      </w:r>
      <w:r w:rsidR="005A74BD" w:rsidRPr="000E4D5E">
        <w:rPr>
          <w:b/>
        </w:rPr>
        <w:t>Structured Questionnaire for Tr</w:t>
      </w:r>
      <w:r w:rsidRPr="000E4D5E">
        <w:rPr>
          <w:b/>
        </w:rPr>
        <w:t>a</w:t>
      </w:r>
      <w:r w:rsidR="005A74BD" w:rsidRPr="000E4D5E">
        <w:rPr>
          <w:b/>
        </w:rPr>
        <w:t>u</w:t>
      </w:r>
      <w:r w:rsidRPr="000E4D5E">
        <w:rPr>
          <w:b/>
        </w:rPr>
        <w:t>ma History</w:t>
      </w:r>
    </w:p>
    <w:p w14:paraId="0BA40035" w14:textId="77777777" w:rsidR="000E4D5E" w:rsidRDefault="000E4D5E"/>
    <w:p w14:paraId="575E1CED" w14:textId="2CAA8456" w:rsidR="00CD08E6" w:rsidRDefault="00FD4D36">
      <w:r>
        <w:t>H</w:t>
      </w:r>
      <w:r w:rsidR="000E4D5E">
        <w:t>oward</w:t>
      </w:r>
      <w:r>
        <w:t xml:space="preserve"> Lipke</w:t>
      </w:r>
      <w:r w:rsidR="001A70EA">
        <w:tab/>
      </w:r>
      <w:r w:rsidR="001A70EA">
        <w:tab/>
      </w:r>
      <w:r w:rsidR="001A70EA">
        <w:tab/>
      </w:r>
      <w:r w:rsidR="001A70EA">
        <w:tab/>
      </w:r>
      <w:r w:rsidR="001A70EA">
        <w:tab/>
      </w:r>
      <w:r w:rsidR="001A70EA">
        <w:tab/>
      </w:r>
      <w:r w:rsidR="001A70EA">
        <w:tab/>
      </w:r>
      <w:r w:rsidR="001A70EA">
        <w:tab/>
        <w:t xml:space="preserve">      </w:t>
      </w:r>
      <w:r w:rsidR="0040759D">
        <w:t>8.20.17</w:t>
      </w:r>
    </w:p>
    <w:p w14:paraId="508894CD" w14:textId="77777777" w:rsidR="00CD08E6" w:rsidRDefault="00CD08E6"/>
    <w:p w14:paraId="2796B639" w14:textId="01B1C17B" w:rsidR="00AE0A13" w:rsidRDefault="00BF3846" w:rsidP="000E4D5E">
      <w:r>
        <w:t xml:space="preserve">Finding out about a client’s history of traumatic events is a particularly sensitive area of psychotherapy practice.  </w:t>
      </w:r>
      <w:r w:rsidR="005A74BD">
        <w:t>In my clinical work, mostly wit</w:t>
      </w:r>
      <w:r w:rsidR="00703F98">
        <w:t>h combat vetera</w:t>
      </w:r>
      <w:r w:rsidR="008A0BAE">
        <w:t>ns, I have found that some important parts of</w:t>
      </w:r>
      <w:r>
        <w:t xml:space="preserve"> trauma history were not</w:t>
      </w:r>
      <w:r w:rsidR="00703F98">
        <w:t xml:space="preserve"> revealed until treatment was well underway. </w:t>
      </w:r>
      <w:r w:rsidR="00DC5B78">
        <w:t xml:space="preserve"> </w:t>
      </w:r>
      <w:r w:rsidR="00AE0A13">
        <w:t>One reason for this is that the client may not y</w:t>
      </w:r>
      <w:r w:rsidR="001A70EA">
        <w:t>et be ready to disclose because of shame, but also:</w:t>
      </w:r>
      <w:r w:rsidR="00AE0A13">
        <w:t xml:space="preserve"> </w:t>
      </w:r>
    </w:p>
    <w:p w14:paraId="06E1D026" w14:textId="34197614" w:rsidR="000539EF" w:rsidRDefault="00F93CB4" w:rsidP="000539EF">
      <w:r>
        <w:t xml:space="preserve">- </w:t>
      </w:r>
      <w:r w:rsidR="00C91527">
        <w:t>C</w:t>
      </w:r>
      <w:r w:rsidR="000539EF">
        <w:t>lient</w:t>
      </w:r>
      <w:r w:rsidR="00A94F24">
        <w:t>s</w:t>
      </w:r>
      <w:r w:rsidR="000539EF">
        <w:t xml:space="preserve"> </w:t>
      </w:r>
      <w:r w:rsidR="00A94F24">
        <w:t xml:space="preserve">sometimes </w:t>
      </w:r>
      <w:r w:rsidR="00D5634C">
        <w:t>do</w:t>
      </w:r>
      <w:r w:rsidR="00E04D30">
        <w:t xml:space="preserve"> want to let the therapist know about traumatic events</w:t>
      </w:r>
      <w:r w:rsidR="00ED6AD9">
        <w:t>,</w:t>
      </w:r>
      <w:r w:rsidR="00E04D30">
        <w:t xml:space="preserve"> but </w:t>
      </w:r>
      <w:r w:rsidR="00874DF5">
        <w:t xml:space="preserve">they </w:t>
      </w:r>
      <w:r w:rsidR="00E04D30">
        <w:t xml:space="preserve">do </w:t>
      </w:r>
      <w:r w:rsidR="000539EF">
        <w:t>not wan</w:t>
      </w:r>
      <w:r w:rsidR="00E04D30">
        <w:t>t to speak</w:t>
      </w:r>
      <w:r w:rsidR="00C170D0">
        <w:t xml:space="preserve"> the</w:t>
      </w:r>
      <w:r w:rsidR="00837E47">
        <w:t xml:space="preserve"> words</w:t>
      </w:r>
      <w:r w:rsidR="001A70EA">
        <w:t xml:space="preserve"> because  other painful emotions would be elicited</w:t>
      </w:r>
      <w:r w:rsidR="000539EF">
        <w:t>.</w:t>
      </w:r>
    </w:p>
    <w:p w14:paraId="1FFB046B" w14:textId="33E5F340" w:rsidR="000539EF" w:rsidRDefault="00F93CB4" w:rsidP="000539EF">
      <w:r>
        <w:t xml:space="preserve">- </w:t>
      </w:r>
      <w:r w:rsidR="00D730FB">
        <w:t>It is the nature of memory that s</w:t>
      </w:r>
      <w:r w:rsidR="00A94F24">
        <w:t>ome events are</w:t>
      </w:r>
      <w:r w:rsidR="000539EF">
        <w:t xml:space="preserve"> </w:t>
      </w:r>
      <w:r w:rsidR="00222842">
        <w:t>not remembered without a</w:t>
      </w:r>
      <w:r w:rsidR="007C1E74">
        <w:t xml:space="preserve"> </w:t>
      </w:r>
      <w:r w:rsidR="00A1762C">
        <w:t>prompt</w:t>
      </w:r>
      <w:r w:rsidR="000539EF">
        <w:t>.</w:t>
      </w:r>
    </w:p>
    <w:p w14:paraId="7BE542B3" w14:textId="57A2B8DE" w:rsidR="00683EE9" w:rsidRDefault="00F93CB4" w:rsidP="000539EF">
      <w:r>
        <w:t xml:space="preserve">- </w:t>
      </w:r>
      <w:r w:rsidR="000539EF">
        <w:t>Th</w:t>
      </w:r>
      <w:r w:rsidR="00A1762C">
        <w:t>e client does not understand the</w:t>
      </w:r>
      <w:r w:rsidR="000539EF">
        <w:t xml:space="preserve"> events as being of potential importance to the therapy. </w:t>
      </w:r>
    </w:p>
    <w:p w14:paraId="2A438F0B" w14:textId="77777777" w:rsidR="000539EF" w:rsidRDefault="000539EF"/>
    <w:p w14:paraId="52F3F354" w14:textId="1F9C7181" w:rsidR="005C2E27" w:rsidRDefault="00885644">
      <w:r>
        <w:t>While there were</w:t>
      </w:r>
      <w:r w:rsidR="009352E6">
        <w:t xml:space="preserve"> several trauma history questionnaires available</w:t>
      </w:r>
      <w:r>
        <w:t xml:space="preserve"> at the time of initial development</w:t>
      </w:r>
      <w:r w:rsidR="001329CC">
        <w:t xml:space="preserve"> in 2000</w:t>
      </w:r>
      <w:r>
        <w:t xml:space="preserve"> (e.g Lauterback &amp; Vrana, 1996)</w:t>
      </w:r>
      <w:r w:rsidR="00A1762C">
        <w:t>,</w:t>
      </w:r>
      <w:r w:rsidR="00124B72">
        <w:t xml:space="preserve"> none that I found included all o</w:t>
      </w:r>
      <w:r w:rsidR="00742F2B">
        <w:t xml:space="preserve">f the </w:t>
      </w:r>
      <w:r w:rsidR="00BD4AF7">
        <w:t>features</w:t>
      </w:r>
      <w:r w:rsidR="00742F2B">
        <w:t xml:space="preserve"> I thought would be useful, and </w:t>
      </w:r>
      <w:r w:rsidR="001329CC">
        <w:t xml:space="preserve">all </w:t>
      </w:r>
      <w:r w:rsidR="00742F2B">
        <w:t>could be included in a new q</w:t>
      </w:r>
      <w:r w:rsidR="001329CC">
        <w:t>uestionnaire. So, t</w:t>
      </w:r>
      <w:r w:rsidR="00742F2B">
        <w:t xml:space="preserve">he </w:t>
      </w:r>
      <w:r w:rsidR="00D63372">
        <w:t xml:space="preserve">Great Lakes Events Questionnaire </w:t>
      </w:r>
      <w:r w:rsidR="00742F2B">
        <w:t>(GLEQ), at first under a different name</w:t>
      </w:r>
      <w:r w:rsidR="001329CC">
        <w:t>, was developed to include the following features</w:t>
      </w:r>
      <w:r w:rsidR="000E4D5E">
        <w:t>:</w:t>
      </w:r>
    </w:p>
    <w:p w14:paraId="18DB143A" w14:textId="4BB4A097" w:rsidR="005C2E27" w:rsidRDefault="00F93CB4" w:rsidP="00F93CB4">
      <w:r>
        <w:t xml:space="preserve">- </w:t>
      </w:r>
      <w:r w:rsidR="001329CC">
        <w:t xml:space="preserve"> brevity, it </w:t>
      </w:r>
      <w:r w:rsidR="00124B72">
        <w:t xml:space="preserve">is one page, </w:t>
      </w:r>
    </w:p>
    <w:p w14:paraId="77F453D6" w14:textId="4FD39FBA" w:rsidR="005C2E27" w:rsidRDefault="005C2E27" w:rsidP="00F93CB4">
      <w:r>
        <w:t>-</w:t>
      </w:r>
      <w:r w:rsidR="00F93CB4">
        <w:t xml:space="preserve"> </w:t>
      </w:r>
      <w:r w:rsidR="001A70EA">
        <w:t xml:space="preserve"> </w:t>
      </w:r>
      <w:r w:rsidR="009352E6">
        <w:t>stage of life</w:t>
      </w:r>
      <w:r w:rsidR="00804EC2">
        <w:t xml:space="preserve"> categor</w:t>
      </w:r>
      <w:r w:rsidR="009352E6">
        <w:t>ie</w:t>
      </w:r>
      <w:r w:rsidR="00804EC2">
        <w:t>s</w:t>
      </w:r>
      <w:r w:rsidR="009352E6">
        <w:t xml:space="preserve"> (including</w:t>
      </w:r>
      <w:r w:rsidR="00682361">
        <w:t xml:space="preserve"> years of</w:t>
      </w:r>
      <w:r w:rsidR="009352E6">
        <w:t xml:space="preserve"> military service), </w:t>
      </w:r>
    </w:p>
    <w:p w14:paraId="7AC7371F" w14:textId="04A380D6" w:rsidR="005C2E27" w:rsidRDefault="00F93CB4" w:rsidP="00F93CB4">
      <w:r>
        <w:t>-</w:t>
      </w:r>
      <w:r w:rsidR="009352E6">
        <w:t xml:space="preserve"> </w:t>
      </w:r>
      <w:r w:rsidR="001A70EA">
        <w:t xml:space="preserve"> </w:t>
      </w:r>
      <w:r w:rsidR="009352E6">
        <w:t>cu</w:t>
      </w:r>
      <w:r w:rsidR="00B02D7F">
        <w:t>rrent distress ratings on the 0</w:t>
      </w:r>
      <w:r w:rsidR="009352E6">
        <w:t xml:space="preserve"> - </w:t>
      </w:r>
      <w:r w:rsidR="007043CE">
        <w:t xml:space="preserve">10 </w:t>
      </w:r>
      <w:r w:rsidR="00C46E75">
        <w:t>Subjective Unit of Disturbance (</w:t>
      </w:r>
      <w:r w:rsidR="00B02D7F">
        <w:t>SUD</w:t>
      </w:r>
      <w:r w:rsidR="00C46E75">
        <w:t>)</w:t>
      </w:r>
      <w:r w:rsidR="00804EC2">
        <w:t xml:space="preserve"> scale</w:t>
      </w:r>
      <w:r w:rsidR="00DC5B78">
        <w:t xml:space="preserve"> to </w:t>
      </w:r>
      <w:r w:rsidR="000E4D5E">
        <w:t>allow rating</w:t>
      </w:r>
      <w:r w:rsidR="00DC5B78">
        <w:t xml:space="preserve"> the relative impact of events</w:t>
      </w:r>
      <w:r w:rsidR="00804EC2">
        <w:t xml:space="preserve">, </w:t>
      </w:r>
    </w:p>
    <w:p w14:paraId="6363F01C" w14:textId="58B839C9" w:rsidR="005C2E27" w:rsidRDefault="00F93CB4" w:rsidP="00F93CB4">
      <w:r>
        <w:t xml:space="preserve">- </w:t>
      </w:r>
      <w:r w:rsidR="001329CC">
        <w:t>inclusion of experiences of  prejudice as well as</w:t>
      </w:r>
      <w:r w:rsidR="009352E6">
        <w:t xml:space="preserve"> one’s own regretted behavior as categori</w:t>
      </w:r>
      <w:r w:rsidR="00804EC2">
        <w:t>e</w:t>
      </w:r>
      <w:r w:rsidR="009352E6">
        <w:t xml:space="preserve">s of events, </w:t>
      </w:r>
    </w:p>
    <w:p w14:paraId="5D8244A9" w14:textId="0ECC0625" w:rsidR="005C2E27" w:rsidRDefault="00F93CB4" w:rsidP="00F93CB4">
      <w:r>
        <w:t xml:space="preserve">- </w:t>
      </w:r>
      <w:r w:rsidR="00042E66">
        <w:t>an open c</w:t>
      </w:r>
      <w:r w:rsidR="00CA5B39">
        <w:t>ategory for</w:t>
      </w:r>
      <w:r w:rsidR="005036E1">
        <w:t xml:space="preserve"> events not covered by other</w:t>
      </w:r>
      <w:r w:rsidR="00CA5B39">
        <w:t xml:space="preserve"> categories</w:t>
      </w:r>
      <w:r w:rsidR="005036E1">
        <w:t xml:space="preserve"> </w:t>
      </w:r>
      <w:r w:rsidR="007D6BDD">
        <w:t>(</w:t>
      </w:r>
      <w:r w:rsidR="005036E1">
        <w:t>which allows for events not</w:t>
      </w:r>
      <w:r w:rsidR="003A1A10">
        <w:t xml:space="preserve"> traditionally considered notable</w:t>
      </w:r>
      <w:r w:rsidR="005036E1">
        <w:t>)</w:t>
      </w:r>
      <w:r w:rsidR="00042E66">
        <w:t>,</w:t>
      </w:r>
      <w:r w:rsidR="00383555">
        <w:t xml:space="preserve"> </w:t>
      </w:r>
    </w:p>
    <w:p w14:paraId="7CD356E2" w14:textId="1EABD87D" w:rsidR="00804EC2" w:rsidRDefault="00F93CB4" w:rsidP="00F93CB4">
      <w:r>
        <w:t xml:space="preserve">- </w:t>
      </w:r>
      <w:r w:rsidR="001329CC">
        <w:t xml:space="preserve">not </w:t>
      </w:r>
      <w:r w:rsidR="009352E6">
        <w:t>refer</w:t>
      </w:r>
      <w:r w:rsidR="001329CC">
        <w:t>ring</w:t>
      </w:r>
      <w:r w:rsidR="009352E6">
        <w:t xml:space="preserve"> to events as trauma.</w:t>
      </w:r>
    </w:p>
    <w:p w14:paraId="5FB22D9D" w14:textId="072A394E" w:rsidR="001A70EA" w:rsidRDefault="001A70EA" w:rsidP="00F93CB4">
      <w:r>
        <w:lastRenderedPageBreak/>
        <w:t>It may also be noted that almost all of</w:t>
      </w:r>
      <w:r w:rsidR="005E1821">
        <w:t xml:space="preserve"> the Adverse Child Experiences</w:t>
      </w:r>
      <w:r>
        <w:t xml:space="preserve"> (ACE</w:t>
      </w:r>
      <w:r w:rsidR="007F1FD2">
        <w:t>, Dube et al. 2001</w:t>
      </w:r>
      <w:r>
        <w:t xml:space="preserve">) scale items are prompted for, though less explicitly than in the ACE. </w:t>
      </w:r>
    </w:p>
    <w:p w14:paraId="52B91DA7" w14:textId="77777777" w:rsidR="00804EC2" w:rsidRDefault="00804EC2"/>
    <w:p w14:paraId="22B36BC2" w14:textId="0E1481D2" w:rsidR="00804EC2" w:rsidRPr="008E55E0" w:rsidRDefault="00C91527" w:rsidP="00804EC2">
      <w:pPr>
        <w:rPr>
          <w:b/>
        </w:rPr>
      </w:pPr>
      <w:r>
        <w:rPr>
          <w:b/>
        </w:rPr>
        <w:t xml:space="preserve">How I </w:t>
      </w:r>
      <w:r w:rsidR="00E120B3">
        <w:rPr>
          <w:b/>
        </w:rPr>
        <w:t>U</w:t>
      </w:r>
      <w:r w:rsidR="00512FEC" w:rsidRPr="008E55E0">
        <w:rPr>
          <w:b/>
        </w:rPr>
        <w:t xml:space="preserve">se the </w:t>
      </w:r>
      <w:r w:rsidR="009D3A6E">
        <w:rPr>
          <w:b/>
        </w:rPr>
        <w:t>G</w:t>
      </w:r>
      <w:r w:rsidR="00D83685">
        <w:rPr>
          <w:b/>
        </w:rPr>
        <w:t>LEQ</w:t>
      </w:r>
      <w:r w:rsidR="00512FEC" w:rsidRPr="008E55E0">
        <w:rPr>
          <w:b/>
        </w:rPr>
        <w:t>:</w:t>
      </w:r>
    </w:p>
    <w:p w14:paraId="5839AE04" w14:textId="77777777" w:rsidR="008E55E0" w:rsidRDefault="008E55E0" w:rsidP="00804EC2"/>
    <w:p w14:paraId="2C967118" w14:textId="763105B9" w:rsidR="00C91527" w:rsidRPr="00C91527" w:rsidRDefault="00C91527" w:rsidP="00C91527">
      <w:pPr>
        <w:rPr>
          <w:i/>
        </w:rPr>
      </w:pPr>
      <w:r>
        <w:t xml:space="preserve">1.  </w:t>
      </w:r>
      <w:r w:rsidR="006F769F">
        <w:t>A</w:t>
      </w:r>
      <w:r w:rsidR="00804EC2">
        <w:t>t the end</w:t>
      </w:r>
      <w:r w:rsidR="00D83685">
        <w:t xml:space="preserve"> the initial</w:t>
      </w:r>
      <w:r w:rsidR="00804EC2">
        <w:t xml:space="preserve"> session</w:t>
      </w:r>
      <w:r w:rsidR="00D5634C">
        <w:t xml:space="preserve"> the</w:t>
      </w:r>
      <w:r w:rsidR="00D63372">
        <w:t xml:space="preserve"> GLEQ</w:t>
      </w:r>
      <w:r w:rsidR="00804EC2">
        <w:t xml:space="preserve"> </w:t>
      </w:r>
      <w:r w:rsidR="00D5634C">
        <w:t>is sent home with the client</w:t>
      </w:r>
      <w:r w:rsidR="006F769F">
        <w:t xml:space="preserve">, if </w:t>
      </w:r>
      <w:r>
        <w:t>he or she is not too vulnerable.</w:t>
      </w:r>
      <w:r w:rsidR="006F769F">
        <w:t xml:space="preserve"> </w:t>
      </w:r>
      <w:r w:rsidR="00D83685">
        <w:t xml:space="preserve"> The client is instructed that</w:t>
      </w:r>
      <w:r w:rsidR="005D1A21">
        <w:t xml:space="preserve"> </w:t>
      </w:r>
      <w:r w:rsidR="00026A37">
        <w:t>If there is more than one episode in a category</w:t>
      </w:r>
      <w:r>
        <w:t>,</w:t>
      </w:r>
      <w:r w:rsidR="00D83685">
        <w:t xml:space="preserve"> he or she should just to</w:t>
      </w:r>
      <w:r w:rsidR="00026A37">
        <w:t xml:space="preserve"> rate the mos</w:t>
      </w:r>
      <w:r w:rsidR="00D83685">
        <w:t>t disturbing one, and also make a</w:t>
      </w:r>
      <w:r w:rsidR="00026A37">
        <w:t xml:space="preserve"> check mark in that box. </w:t>
      </w:r>
      <w:r w:rsidR="00804EC2" w:rsidRPr="00C91527">
        <w:rPr>
          <w:i/>
        </w:rPr>
        <w:t>If the client appears too vulnerable</w:t>
      </w:r>
      <w:r w:rsidR="00D5634C" w:rsidRPr="00C91527">
        <w:rPr>
          <w:i/>
        </w:rPr>
        <w:t xml:space="preserve"> to complete a trauma history without support</w:t>
      </w:r>
      <w:r w:rsidR="00E8478B" w:rsidRPr="00C91527">
        <w:rPr>
          <w:i/>
        </w:rPr>
        <w:t xml:space="preserve">, </w:t>
      </w:r>
      <w:r>
        <w:rPr>
          <w:i/>
        </w:rPr>
        <w:t>he or she is asked to complete it in session. In some</w:t>
      </w:r>
      <w:r w:rsidR="008B56E6">
        <w:rPr>
          <w:i/>
        </w:rPr>
        <w:t xml:space="preserve"> cases the questionnaire is offered</w:t>
      </w:r>
      <w:r>
        <w:rPr>
          <w:i/>
        </w:rPr>
        <w:t xml:space="preserve"> later in treatment.</w:t>
      </w:r>
    </w:p>
    <w:p w14:paraId="057AA553" w14:textId="77777777" w:rsidR="00C91527" w:rsidRDefault="00C91527" w:rsidP="00804EC2">
      <w:pPr>
        <w:rPr>
          <w:i/>
        </w:rPr>
      </w:pPr>
    </w:p>
    <w:p w14:paraId="0C59FCE7" w14:textId="13BD14F4" w:rsidR="00804EC2" w:rsidRPr="00C91527" w:rsidRDefault="00DD13B0" w:rsidP="00804EC2">
      <w:r>
        <w:t xml:space="preserve">2. </w:t>
      </w:r>
      <w:r w:rsidR="00804EC2">
        <w:t xml:space="preserve"> In the n</w:t>
      </w:r>
      <w:r w:rsidR="00C91527">
        <w:t>ext session</w:t>
      </w:r>
      <w:r w:rsidR="007C55FD">
        <w:t xml:space="preserve"> the responses</w:t>
      </w:r>
      <w:r w:rsidR="00E120B3">
        <w:t xml:space="preserve"> </w:t>
      </w:r>
      <w:r w:rsidR="00C91527">
        <w:t xml:space="preserve">are reviewed and the client is asked to briefly describe the events. </w:t>
      </w:r>
      <w:r w:rsidR="00C316BE">
        <w:t>It can</w:t>
      </w:r>
      <w:r w:rsidR="00E120B3">
        <w:t xml:space="preserve"> be helpful to make a copy of the completed questionnaire</w:t>
      </w:r>
      <w:r w:rsidR="00422FE8">
        <w:t xml:space="preserve"> and let the client follow along</w:t>
      </w:r>
      <w:r w:rsidR="00C316BE">
        <w:t xml:space="preserve"> as you ask about the items.</w:t>
      </w:r>
      <w:r w:rsidR="009B10E5">
        <w:t xml:space="preserve"> </w:t>
      </w:r>
      <w:r w:rsidR="00E120B3" w:rsidRPr="00914122">
        <w:t>If there is</w:t>
      </w:r>
      <w:r w:rsidR="000E2F14" w:rsidRPr="00914122">
        <w:t xml:space="preserve"> more than one episod</w:t>
      </w:r>
      <w:r w:rsidR="00026A37" w:rsidRPr="00914122">
        <w:t>e</w:t>
      </w:r>
      <w:r w:rsidR="007C55FD" w:rsidRPr="00914122">
        <w:t xml:space="preserve"> </w:t>
      </w:r>
      <w:r w:rsidR="00C91527">
        <w:t xml:space="preserve">in a category, </w:t>
      </w:r>
      <w:r w:rsidR="00804EC2" w:rsidRPr="00914122">
        <w:t xml:space="preserve">not all have to be mentioned. </w:t>
      </w:r>
      <w:r w:rsidR="007C55FD" w:rsidRPr="00914122">
        <w:t xml:space="preserve"> </w:t>
      </w:r>
      <w:r w:rsidR="007C55FD" w:rsidRPr="00914122">
        <w:rPr>
          <w:i/>
        </w:rPr>
        <w:t>Of course, if the client wants</w:t>
      </w:r>
      <w:r w:rsidR="005B2B3D">
        <w:rPr>
          <w:i/>
        </w:rPr>
        <w:t xml:space="preserve"> to talk in depth, it is important to</w:t>
      </w:r>
      <w:r w:rsidR="00FB1720">
        <w:rPr>
          <w:i/>
        </w:rPr>
        <w:t xml:space="preserve"> listen. T</w:t>
      </w:r>
      <w:r w:rsidR="00804EC2" w:rsidRPr="00914122">
        <w:rPr>
          <w:i/>
        </w:rPr>
        <w:t>he questionnair</w:t>
      </w:r>
      <w:r w:rsidR="007C55FD" w:rsidRPr="00914122">
        <w:rPr>
          <w:i/>
        </w:rPr>
        <w:t xml:space="preserve">e reminds clients of important experiences </w:t>
      </w:r>
      <w:r w:rsidR="00BF60C3" w:rsidRPr="00914122">
        <w:rPr>
          <w:i/>
        </w:rPr>
        <w:t>that might have been forgo</w:t>
      </w:r>
      <w:r w:rsidR="00804EC2" w:rsidRPr="00914122">
        <w:rPr>
          <w:i/>
        </w:rPr>
        <w:t>tten or minimized for various reasons. It also allows clients to show there is a problem area without having to talk about it or reveal details</w:t>
      </w:r>
      <w:r w:rsidR="00B36B39" w:rsidRPr="00914122">
        <w:rPr>
          <w:i/>
        </w:rPr>
        <w:t xml:space="preserve"> before the client is ready.</w:t>
      </w:r>
    </w:p>
    <w:p w14:paraId="7347F18C" w14:textId="77777777" w:rsidR="00804EC2" w:rsidRDefault="00804EC2" w:rsidP="00804EC2"/>
    <w:p w14:paraId="2A0A7A94" w14:textId="5BA70848" w:rsidR="00E36D2E" w:rsidRDefault="00DD13B0" w:rsidP="00804EC2">
      <w:r>
        <w:t xml:space="preserve">3. </w:t>
      </w:r>
      <w:r w:rsidR="00422FE8">
        <w:t>I</w:t>
      </w:r>
      <w:r w:rsidR="00E36D2E">
        <w:t>f trauma work is appropriate in the near future</w:t>
      </w:r>
      <w:r w:rsidR="00E120B3">
        <w:t xml:space="preserve">, </w:t>
      </w:r>
      <w:r w:rsidR="00804EC2">
        <w:t>the client</w:t>
      </w:r>
      <w:r w:rsidR="00E120B3">
        <w:t xml:space="preserve"> is asked</w:t>
      </w:r>
      <w:r w:rsidR="00804EC2">
        <w:t xml:space="preserve"> to consider </w:t>
      </w:r>
      <w:r w:rsidR="00422FE8">
        <w:t>which event would</w:t>
      </w:r>
      <w:r w:rsidR="00914122">
        <w:t xml:space="preserve"> be the best to tackle first. The phrasing</w:t>
      </w:r>
      <w:r w:rsidR="00422FE8">
        <w:t xml:space="preserve"> is slightly awkward but the question</w:t>
      </w:r>
      <w:r w:rsidR="000E7605">
        <w:t xml:space="preserve">: </w:t>
      </w:r>
      <w:r w:rsidR="00422FE8">
        <w:t xml:space="preserve">“Which </w:t>
      </w:r>
      <w:r w:rsidR="00FB1720">
        <w:t>event would it be most helpful</w:t>
      </w:r>
      <w:r w:rsidR="00422FE8">
        <w:t xml:space="preserve"> to have bother you less?” seems an effective way to set priorities.</w:t>
      </w:r>
      <w:r w:rsidR="000E7605">
        <w:t xml:space="preserve"> </w:t>
      </w:r>
      <w:r w:rsidR="00E36D2E" w:rsidRPr="005D1A21">
        <w:rPr>
          <w:i/>
        </w:rPr>
        <w:t xml:space="preserve">It may be noted that this is a client centered, rather than </w:t>
      </w:r>
      <w:r w:rsidR="00FB1720">
        <w:rPr>
          <w:i/>
        </w:rPr>
        <w:t>theory driven</w:t>
      </w:r>
      <w:r w:rsidR="00C201DA">
        <w:rPr>
          <w:i/>
        </w:rPr>
        <w:t xml:space="preserve"> approach to selecting traumatic event focus</w:t>
      </w:r>
      <w:r w:rsidR="00E36D2E">
        <w:t>.</w:t>
      </w:r>
    </w:p>
    <w:p w14:paraId="6F0D36D6" w14:textId="77777777" w:rsidR="00DD13B0" w:rsidRDefault="00DD13B0" w:rsidP="00804EC2"/>
    <w:p w14:paraId="13E6754A" w14:textId="0567509B" w:rsidR="00F67C62" w:rsidRPr="003D72E0" w:rsidRDefault="00DD13B0">
      <w:pPr>
        <w:rPr>
          <w:i/>
        </w:rPr>
      </w:pPr>
      <w:r>
        <w:t xml:space="preserve">4. </w:t>
      </w:r>
      <w:r w:rsidR="00C201DA">
        <w:t>This s</w:t>
      </w:r>
      <w:r w:rsidR="0040759D">
        <w:t>tep is specific to EMDR informed psychotherapy</w:t>
      </w:r>
      <w:r w:rsidR="00C1591E">
        <w:t>. In EMDR practice the various aspects</w:t>
      </w:r>
      <w:r w:rsidR="00DC4105">
        <w:t xml:space="preserve"> </w:t>
      </w:r>
      <w:r w:rsidR="00C1591E">
        <w:t>of the memory of a</w:t>
      </w:r>
      <w:r w:rsidR="00FB1720">
        <w:t xml:space="preserve"> traumatic event are identified:</w:t>
      </w:r>
      <w:r w:rsidR="00C1591E">
        <w:t xml:space="preserve"> the visual image,</w:t>
      </w:r>
      <w:r w:rsidR="000E7605">
        <w:t xml:space="preserve"> associated cognitions,</w:t>
      </w:r>
      <w:r w:rsidR="007E1F09">
        <w:t xml:space="preserve"> emotions and </w:t>
      </w:r>
      <w:r w:rsidR="00FB1720">
        <w:t xml:space="preserve">body </w:t>
      </w:r>
      <w:r w:rsidR="007E1F09">
        <w:t xml:space="preserve">sensations, as well as </w:t>
      </w:r>
      <w:r w:rsidR="00DC4105">
        <w:t>the cognition the client would prefer to have when the event c</w:t>
      </w:r>
      <w:r w:rsidR="00FB1720">
        <w:t>omes to awareness. As EMDR is usually taught</w:t>
      </w:r>
      <w:r w:rsidR="00DC4105">
        <w:t xml:space="preserve"> these are asked</w:t>
      </w:r>
      <w:r w:rsidR="00FB1720">
        <w:t>, in what is called the “a</w:t>
      </w:r>
      <w:r w:rsidR="000144E7">
        <w:t>ssessment” phase of EMDR treatment,</w:t>
      </w:r>
      <w:r w:rsidR="00DC4105">
        <w:t xml:space="preserve"> just before the traumatic memory is to be reprocessed. </w:t>
      </w:r>
      <w:r w:rsidR="00FB1720">
        <w:t xml:space="preserve"> In my practice I </w:t>
      </w:r>
      <w:r w:rsidR="00C422B6">
        <w:t xml:space="preserve">first </w:t>
      </w:r>
      <w:r w:rsidR="00FB1720">
        <w:t xml:space="preserve">ask these questions (minus asking about a visual image) about the target event just after the client has selected it from the GLEQ during history taking. </w:t>
      </w:r>
      <w:r w:rsidR="00917745" w:rsidRPr="001410AB">
        <w:rPr>
          <w:i/>
        </w:rPr>
        <w:t xml:space="preserve">Having the client consider these questions </w:t>
      </w:r>
      <w:r w:rsidR="00B548B4" w:rsidRPr="001410AB">
        <w:rPr>
          <w:i/>
        </w:rPr>
        <w:t>at this time makes</w:t>
      </w:r>
      <w:r w:rsidR="00917745" w:rsidRPr="001410AB">
        <w:rPr>
          <w:i/>
        </w:rPr>
        <w:t xml:space="preserve"> later trauma processing</w:t>
      </w:r>
      <w:r w:rsidR="00B548B4" w:rsidRPr="001410AB">
        <w:rPr>
          <w:i/>
        </w:rPr>
        <w:t xml:space="preserve"> more efficient</w:t>
      </w:r>
      <w:r w:rsidR="004A3E63">
        <w:rPr>
          <w:i/>
        </w:rPr>
        <w:t xml:space="preserve"> by providing</w:t>
      </w:r>
      <w:r w:rsidR="00917745" w:rsidRPr="001410AB">
        <w:rPr>
          <w:i/>
        </w:rPr>
        <w:t xml:space="preserve"> the opportunity for general psycho</w:t>
      </w:r>
      <w:r w:rsidR="00B548B4" w:rsidRPr="001410AB">
        <w:rPr>
          <w:i/>
        </w:rPr>
        <w:t>-</w:t>
      </w:r>
      <w:r w:rsidR="00917745" w:rsidRPr="001410AB">
        <w:rPr>
          <w:i/>
        </w:rPr>
        <w:t>education</w:t>
      </w:r>
      <w:r w:rsidR="004A3E63">
        <w:rPr>
          <w:i/>
        </w:rPr>
        <w:t xml:space="preserve"> and full consideration of the client’s cognitions in advance of the trauma processing sessions.</w:t>
      </w:r>
      <w:r w:rsidR="00B548B4" w:rsidRPr="001410AB">
        <w:rPr>
          <w:i/>
        </w:rPr>
        <w:t xml:space="preserve"> </w:t>
      </w:r>
      <w:r w:rsidR="003D72E0">
        <w:rPr>
          <w:i/>
        </w:rPr>
        <w:t>A</w:t>
      </w:r>
      <w:r w:rsidR="004A3E63">
        <w:rPr>
          <w:i/>
        </w:rPr>
        <w:t xml:space="preserve"> surprising amount of trauma processing can </w:t>
      </w:r>
      <w:r w:rsidR="00190076">
        <w:rPr>
          <w:i/>
        </w:rPr>
        <w:t xml:space="preserve">take place by just considering </w:t>
      </w:r>
      <w:r w:rsidR="003D72E0">
        <w:rPr>
          <w:i/>
        </w:rPr>
        <w:t xml:space="preserve">Shapiro’s </w:t>
      </w:r>
      <w:r w:rsidR="00190076">
        <w:rPr>
          <w:i/>
        </w:rPr>
        <w:t xml:space="preserve">elegantly constructed </w:t>
      </w:r>
      <w:r w:rsidR="004A3E63">
        <w:rPr>
          <w:i/>
        </w:rPr>
        <w:t xml:space="preserve"> “</w:t>
      </w:r>
      <w:r w:rsidR="003D72E0">
        <w:rPr>
          <w:i/>
        </w:rPr>
        <w:t>a</w:t>
      </w:r>
      <w:r w:rsidR="004A3E63">
        <w:rPr>
          <w:i/>
        </w:rPr>
        <w:t>ssessment” phase questions</w:t>
      </w:r>
      <w:r w:rsidR="003D72E0">
        <w:rPr>
          <w:i/>
        </w:rPr>
        <w:t>. In addition to the standard “a</w:t>
      </w:r>
      <w:r w:rsidR="00B548B4" w:rsidRPr="00190076">
        <w:rPr>
          <w:i/>
        </w:rPr>
        <w:t>ssessment” phase questions,</w:t>
      </w:r>
      <w:r w:rsidR="003D72E0">
        <w:rPr>
          <w:i/>
        </w:rPr>
        <w:t xml:space="preserve"> it is helpful to ask about a “preferred emotion”</w:t>
      </w:r>
      <w:r w:rsidR="00B548B4" w:rsidRPr="00190076">
        <w:rPr>
          <w:i/>
        </w:rPr>
        <w:t>, a concept parallel</w:t>
      </w:r>
      <w:r w:rsidR="001410AB" w:rsidRPr="00190076">
        <w:rPr>
          <w:i/>
        </w:rPr>
        <w:t xml:space="preserve"> to the preferred/</w:t>
      </w:r>
      <w:r w:rsidR="00B548B4" w:rsidRPr="00190076">
        <w:rPr>
          <w:i/>
        </w:rPr>
        <w:t xml:space="preserve">positive cognition. </w:t>
      </w:r>
      <w:r w:rsidR="003D72E0">
        <w:rPr>
          <w:i/>
        </w:rPr>
        <w:t>(</w:t>
      </w:r>
      <w:r w:rsidR="00B548B4" w:rsidRPr="00190076">
        <w:rPr>
          <w:i/>
        </w:rPr>
        <w:t xml:space="preserve"> The use of this question is elaborated in a paper </w:t>
      </w:r>
      <w:r w:rsidR="00415914" w:rsidRPr="00190076">
        <w:rPr>
          <w:i/>
        </w:rPr>
        <w:t>on the subject</w:t>
      </w:r>
      <w:r w:rsidR="001725EF">
        <w:t xml:space="preserve">, </w:t>
      </w:r>
      <w:r w:rsidR="001725EF" w:rsidRPr="000B7C34">
        <w:rPr>
          <w:rFonts w:ascii="Helvetica" w:eastAsia="Cambria" w:hAnsi="Helvetica"/>
          <w:i/>
        </w:rPr>
        <w:t>The Preferred Emotion and the Use of Assessment Questions in the History and Preparation Phases of Standard EMDR</w:t>
      </w:r>
      <w:r w:rsidR="001725EF">
        <w:rPr>
          <w:rFonts w:ascii="Helvetica" w:eastAsia="Cambria" w:hAnsi="Helvetica"/>
          <w:i/>
        </w:rPr>
        <w:t xml:space="preserve">, </w:t>
      </w:r>
      <w:r w:rsidR="001725EF">
        <w:t>available at Howard Lipke.com.</w:t>
      </w:r>
      <w:r w:rsidR="003D72E0">
        <w:t>)</w:t>
      </w:r>
    </w:p>
    <w:p w14:paraId="0B2E4BD0" w14:textId="77777777" w:rsidR="00F67C62" w:rsidRDefault="00F67C62"/>
    <w:p w14:paraId="42B6E505" w14:textId="77777777" w:rsidR="00F67C62" w:rsidRPr="00415914" w:rsidRDefault="00F67C62">
      <w:pPr>
        <w:rPr>
          <w:b/>
        </w:rPr>
      </w:pPr>
      <w:r w:rsidRPr="00415914">
        <w:rPr>
          <w:b/>
        </w:rPr>
        <w:t xml:space="preserve">The Back </w:t>
      </w:r>
      <w:r w:rsidR="00026A37">
        <w:rPr>
          <w:b/>
        </w:rPr>
        <w:t>P</w:t>
      </w:r>
      <w:r w:rsidR="00415914">
        <w:rPr>
          <w:b/>
        </w:rPr>
        <w:t xml:space="preserve">age </w:t>
      </w:r>
      <w:r w:rsidRPr="00415914">
        <w:rPr>
          <w:b/>
        </w:rPr>
        <w:t>of the GLES</w:t>
      </w:r>
    </w:p>
    <w:p w14:paraId="7D7CDA9D" w14:textId="77777777" w:rsidR="00F67C62" w:rsidRDefault="00F67C62"/>
    <w:p w14:paraId="39DBA528" w14:textId="071E92B4" w:rsidR="00DD13B0" w:rsidRDefault="00415914">
      <w:r>
        <w:t>T</w:t>
      </w:r>
      <w:r w:rsidR="00DD13B0">
        <w:t>he back of the GLSC</w:t>
      </w:r>
      <w:r w:rsidR="00D94B0E">
        <w:t xml:space="preserve"> is</w:t>
      </w:r>
      <w:r>
        <w:t xml:space="preserve"> used</w:t>
      </w:r>
      <w:r w:rsidR="00DD13B0">
        <w:t xml:space="preserve"> to gather information on positive aspects of the client’s life</w:t>
      </w:r>
      <w:r w:rsidR="00D94B0E">
        <w:t>. The three question</w:t>
      </w:r>
      <w:r w:rsidR="00CE5B51">
        <w:t>s</w:t>
      </w:r>
      <w:bookmarkStart w:id="0" w:name="_GoBack"/>
      <w:bookmarkEnd w:id="0"/>
      <w:r w:rsidR="00D94B0E">
        <w:t xml:space="preserve"> </w:t>
      </w:r>
      <w:r w:rsidR="00DD13B0">
        <w:t>are</w:t>
      </w:r>
      <w:r w:rsidR="00D94B0E">
        <w:t>:</w:t>
      </w:r>
    </w:p>
    <w:p w14:paraId="3A5BCD91" w14:textId="77777777" w:rsidR="00DD13B0" w:rsidRDefault="00DD13B0" w:rsidP="00DD13B0"/>
    <w:p w14:paraId="6EEA0BF0" w14:textId="77777777" w:rsidR="00DD13B0" w:rsidRDefault="00DD13B0" w:rsidP="00DD13B0">
      <w:r>
        <w:t>1.What two or three</w:t>
      </w:r>
      <w:r w:rsidR="00E6026D">
        <w:t xml:space="preserve"> ideas, principles,</w:t>
      </w:r>
      <w:r>
        <w:t xml:space="preserve"> saying,</w:t>
      </w:r>
      <w:r w:rsidR="001C12AF">
        <w:t xml:space="preserve"> or</w:t>
      </w:r>
      <w:r>
        <w:t xml:space="preserve"> motto</w:t>
      </w:r>
      <w:r w:rsidR="001C12AF">
        <w:t xml:space="preserve">s </w:t>
      </w:r>
      <w:r w:rsidR="00415914">
        <w:t xml:space="preserve">do </w:t>
      </w:r>
      <w:r>
        <w:t>you try to live by?</w:t>
      </w:r>
    </w:p>
    <w:p w14:paraId="23D8F558" w14:textId="77777777" w:rsidR="00DD13B0" w:rsidRDefault="00DD13B0" w:rsidP="00DD13B0">
      <w:pPr>
        <w:rPr>
          <w:b/>
        </w:rPr>
      </w:pPr>
    </w:p>
    <w:p w14:paraId="5548EDE2" w14:textId="77777777" w:rsidR="00DD13B0" w:rsidRPr="00DD13B0" w:rsidRDefault="00DD13B0" w:rsidP="00DD13B0">
      <w:r>
        <w:t>2.</w:t>
      </w:r>
      <w:r w:rsidR="00753C7D">
        <w:t xml:space="preserve"> </w:t>
      </w:r>
      <w:r w:rsidRPr="00DD13B0">
        <w:t xml:space="preserve">Please list the three best events </w:t>
      </w:r>
      <w:r w:rsidR="00707E9E">
        <w:t>or accomplishments of your</w:t>
      </w:r>
      <w:r w:rsidRPr="00DD13B0">
        <w:t xml:space="preserve"> life</w:t>
      </w:r>
      <w:r w:rsidR="00707E9E">
        <w:t>, include both adult and childhood</w:t>
      </w:r>
      <w:r w:rsidRPr="00DD13B0">
        <w:t>.</w:t>
      </w:r>
    </w:p>
    <w:p w14:paraId="69DAEACA" w14:textId="77777777" w:rsidR="00DD13B0" w:rsidRPr="00DD13B0" w:rsidRDefault="00DD13B0" w:rsidP="00DD13B0"/>
    <w:p w14:paraId="0E6E329C" w14:textId="55A7D7BD" w:rsidR="00DD13B0" w:rsidRPr="00DD13B0" w:rsidRDefault="00DD13B0" w:rsidP="00DD13B0">
      <w:r>
        <w:t>3.</w:t>
      </w:r>
      <w:r w:rsidRPr="00DD13B0">
        <w:t>Please list your 3 favorite activities- things you enj</w:t>
      </w:r>
      <w:r w:rsidR="00B45FED">
        <w:t>oy doing, whether or not you  have been engaging in</w:t>
      </w:r>
      <w:r w:rsidRPr="00DD13B0">
        <w:t xml:space="preserve"> them recently.</w:t>
      </w:r>
    </w:p>
    <w:p w14:paraId="34983B60" w14:textId="77777777" w:rsidR="00DD13B0" w:rsidRDefault="00DD13B0"/>
    <w:p w14:paraId="48FDBAA5" w14:textId="50C844FE" w:rsidR="00707E9E" w:rsidRPr="00D94B0E" w:rsidRDefault="00707E9E">
      <w:r>
        <w:t>T</w:t>
      </w:r>
      <w:r w:rsidR="00415914">
        <w:t>he above</w:t>
      </w:r>
      <w:r w:rsidR="00D94B0E">
        <w:t xml:space="preserve"> items were included because f</w:t>
      </w:r>
      <w:r>
        <w:t>inding out about positiv</w:t>
      </w:r>
      <w:r w:rsidR="00753C7D">
        <w:t>e events can be easily overlooked as one gets the history of a client’s problems.</w:t>
      </w:r>
      <w:r w:rsidR="00D94B0E">
        <w:t xml:space="preserve"> Further, a</w:t>
      </w:r>
      <w:r>
        <w:t>sking clients to consider</w:t>
      </w:r>
      <w:r w:rsidR="00415914">
        <w:t xml:space="preserve"> positive aspects of life</w:t>
      </w:r>
      <w:r w:rsidR="008C275E">
        <w:t>, especially after reviewing painful events,</w:t>
      </w:r>
      <w:r w:rsidR="00415914">
        <w:t xml:space="preserve"> may have therapeutic effect.</w:t>
      </w:r>
      <w:r w:rsidR="00415914" w:rsidRPr="00415914">
        <w:rPr>
          <w:i/>
        </w:rPr>
        <w:t xml:space="preserve"> </w:t>
      </w:r>
      <w:r w:rsidR="00D94B0E">
        <w:rPr>
          <w:i/>
        </w:rPr>
        <w:t>F</w:t>
      </w:r>
      <w:r w:rsidRPr="00415914">
        <w:rPr>
          <w:i/>
        </w:rPr>
        <w:t>or some clients this may increase distress if they cannot come up with these or it highlights the contrast to their curr</w:t>
      </w:r>
      <w:r w:rsidR="00415914" w:rsidRPr="00415914">
        <w:rPr>
          <w:i/>
        </w:rPr>
        <w:t>e</w:t>
      </w:r>
      <w:r w:rsidR="00D94B0E">
        <w:rPr>
          <w:i/>
        </w:rPr>
        <w:t>nt situation. W</w:t>
      </w:r>
      <w:r w:rsidRPr="00415914">
        <w:rPr>
          <w:i/>
        </w:rPr>
        <w:t>hen the clinician senses this</w:t>
      </w:r>
      <w:r w:rsidR="00D94B0E">
        <w:rPr>
          <w:i/>
        </w:rPr>
        <w:t>,</w:t>
      </w:r>
      <w:r w:rsidRPr="00415914">
        <w:rPr>
          <w:i/>
        </w:rPr>
        <w:t xml:space="preserve"> the cautions described above may be applied.</w:t>
      </w:r>
    </w:p>
    <w:p w14:paraId="48EE343E" w14:textId="77777777" w:rsidR="00CD08E6" w:rsidRDefault="00CD08E6"/>
    <w:p w14:paraId="2DA8AF25" w14:textId="77777777" w:rsidR="000E4D5E" w:rsidRDefault="000E4D5E">
      <w:pPr>
        <w:rPr>
          <w:b/>
        </w:rPr>
      </w:pPr>
    </w:p>
    <w:p w14:paraId="7557025E" w14:textId="77777777" w:rsidR="00CD08E6" w:rsidRPr="00415914" w:rsidRDefault="00415914">
      <w:pPr>
        <w:rPr>
          <w:b/>
        </w:rPr>
      </w:pPr>
      <w:r>
        <w:rPr>
          <w:b/>
        </w:rPr>
        <w:t>Flexibility of the GLES</w:t>
      </w:r>
    </w:p>
    <w:p w14:paraId="2602B3CE" w14:textId="77777777" w:rsidR="00CD08E6" w:rsidRDefault="00CD08E6"/>
    <w:p w14:paraId="50B8AFCA" w14:textId="4B7833BC" w:rsidR="009B4F78" w:rsidRDefault="00FB108C">
      <w:r>
        <w:t>As noted above</w:t>
      </w:r>
      <w:r w:rsidR="001215F7">
        <w:t>,</w:t>
      </w:r>
      <w:r w:rsidR="00CD08E6">
        <w:t xml:space="preserve"> the GLES is administered</w:t>
      </w:r>
      <w:r>
        <w:t xml:space="preserve"> flexibly. The content may also be considered with flexibility</w:t>
      </w:r>
      <w:r w:rsidR="00CD08E6">
        <w:t xml:space="preserve">. </w:t>
      </w:r>
      <w:r w:rsidR="00B45FED">
        <w:t xml:space="preserve"> For</w:t>
      </w:r>
      <w:r>
        <w:t xml:space="preserve"> example, the age groupings can easily be changed to adapt to non-veteran client populations</w:t>
      </w:r>
      <w:r w:rsidR="00D66C5E">
        <w:t xml:space="preserve">. </w:t>
      </w:r>
      <w:r w:rsidR="00CD08E6">
        <w:t xml:space="preserve">The questions on the back </w:t>
      </w:r>
      <w:r w:rsidR="00415914">
        <w:t xml:space="preserve">can also be modified to meet the </w:t>
      </w:r>
      <w:r w:rsidR="00CD08E6">
        <w:t>needs of a particular clinical situation. The inst</w:t>
      </w:r>
      <w:r w:rsidR="009B4F78">
        <w:t>rument is in the public domain, so there are no copyright concerns.</w:t>
      </w:r>
    </w:p>
    <w:p w14:paraId="3B53F9A1" w14:textId="77777777" w:rsidR="000E4D5E" w:rsidRDefault="000E4D5E" w:rsidP="009B4F78"/>
    <w:p w14:paraId="050F0C01" w14:textId="77777777" w:rsidR="009B4F78" w:rsidRPr="009B4F78" w:rsidRDefault="009B4F78" w:rsidP="009B4F78">
      <w:pPr>
        <w:rPr>
          <w:b/>
        </w:rPr>
      </w:pPr>
      <w:r w:rsidRPr="009B4F78">
        <w:rPr>
          <w:b/>
        </w:rPr>
        <w:t>Research Potential</w:t>
      </w:r>
    </w:p>
    <w:p w14:paraId="2D4C2F66" w14:textId="77777777" w:rsidR="009B4F78" w:rsidRDefault="009B4F78" w:rsidP="009B4F78"/>
    <w:p w14:paraId="1D38ECD1" w14:textId="7EECFD47" w:rsidR="00FA7253" w:rsidRDefault="009B4F78" w:rsidP="009B4F78">
      <w:r>
        <w:t>In addition to its assessment and therapeutic usefulness</w:t>
      </w:r>
      <w:r w:rsidR="001215F7">
        <w:t>,</w:t>
      </w:r>
      <w:r w:rsidR="003C63F4">
        <w:t xml:space="preserve"> the GLEQ</w:t>
      </w:r>
      <w:r>
        <w:t xml:space="preserve"> has research po</w:t>
      </w:r>
      <w:r w:rsidR="009F456C">
        <w:t>tential. It may be used for pre-post measurement</w:t>
      </w:r>
      <w:r>
        <w:t xml:space="preserve"> of client responsiveness to treatment. It has also been useful for understanding the effect of events for groups of people. I have not yet</w:t>
      </w:r>
      <w:r w:rsidR="00FA7253">
        <w:t xml:space="preserve"> used it in a formal study</w:t>
      </w:r>
      <w:r>
        <w:t>, but have informally observed some inte</w:t>
      </w:r>
      <w:r w:rsidR="001215F7">
        <w:t>resting trends. For example,</w:t>
      </w:r>
      <w:r w:rsidR="00573B43">
        <w:t xml:space="preserve"> my combat veteran clients who report</w:t>
      </w:r>
      <w:r w:rsidR="008F70B9">
        <w:t xml:space="preserve"> episodes of prejudice</w:t>
      </w:r>
      <w:r w:rsidR="00573B43">
        <w:t>,</w:t>
      </w:r>
      <w:r>
        <w:t xml:space="preserve"> tend to rate the distress from these at least as high as they rate their combat exp</w:t>
      </w:r>
      <w:r w:rsidR="00FA7253">
        <w:t>eriences. While only a preliminary observation</w:t>
      </w:r>
      <w:r w:rsidR="00573B43">
        <w:t>,</w:t>
      </w:r>
      <w:r w:rsidR="00FA7253">
        <w:t xml:space="preserve"> this finding i</w:t>
      </w:r>
      <w:r w:rsidR="008F70B9">
        <w:t xml:space="preserve">s interesting and may be useful. </w:t>
      </w:r>
    </w:p>
    <w:p w14:paraId="10018FDE" w14:textId="77777777" w:rsidR="00FA7253" w:rsidRDefault="00FA7253" w:rsidP="009B4F78"/>
    <w:p w14:paraId="3874A0BC" w14:textId="5989CCAF" w:rsidR="00FA7253" w:rsidRPr="00FA7253" w:rsidRDefault="00FA7253" w:rsidP="008C09A0">
      <w:pPr>
        <w:rPr>
          <w:b/>
        </w:rPr>
      </w:pPr>
      <w:r w:rsidRPr="00FA7253">
        <w:rPr>
          <w:b/>
        </w:rPr>
        <w:t>References</w:t>
      </w:r>
    </w:p>
    <w:p w14:paraId="061AF93F" w14:textId="77777777" w:rsidR="00B45FED" w:rsidRDefault="00B45FED" w:rsidP="00B45FED">
      <w:pPr>
        <w:rPr>
          <w:rFonts w:ascii="Helvetica" w:hAnsi="Helvetica"/>
        </w:rPr>
      </w:pPr>
    </w:p>
    <w:p w14:paraId="5EBEB3A6" w14:textId="77777777" w:rsidR="00420DAE" w:rsidRPr="0048052F" w:rsidRDefault="00420DAE" w:rsidP="00420DAE">
      <w:r w:rsidRPr="0048052F">
        <w:t>Dube, S.R., Anda, R.F., Felitti, V.J., Chapman, D.P.,</w:t>
      </w:r>
      <w:r>
        <w:t xml:space="preserve"> </w:t>
      </w:r>
      <w:r w:rsidRPr="0048052F">
        <w:t>Williamson, D.F., &amp; Giles, W.H. (2001) Childhood abuse, household dysfun</w:t>
      </w:r>
      <w:r>
        <w:t>c</w:t>
      </w:r>
      <w:r w:rsidRPr="0048052F">
        <w:t xml:space="preserve">tion, and the risk of attempted suicide throughout the life span: Findings from the adverse childhood experiences study. </w:t>
      </w:r>
      <w:r w:rsidRPr="0048052F">
        <w:rPr>
          <w:i/>
        </w:rPr>
        <w:t>JAMA</w:t>
      </w:r>
      <w:r w:rsidRPr="0048052F">
        <w:t>, 286(24) 3089 – 3096.</w:t>
      </w:r>
    </w:p>
    <w:p w14:paraId="3F13D6A5" w14:textId="77777777" w:rsidR="00420DAE" w:rsidRDefault="00420DAE" w:rsidP="00B45FED"/>
    <w:p w14:paraId="321260DE" w14:textId="77777777" w:rsidR="00B45FED" w:rsidRPr="00573B43" w:rsidRDefault="00B45FED" w:rsidP="00B45FED">
      <w:r w:rsidRPr="00573B43">
        <w:t xml:space="preserve">Lauterbach, D. &amp; Vrana, S. (1996) Three studies on the reliability and validity of a self-report measure of posttraumatic stress disorder. </w:t>
      </w:r>
      <w:r w:rsidRPr="00573B43">
        <w:rPr>
          <w:i/>
        </w:rPr>
        <w:t>Assessment</w:t>
      </w:r>
      <w:r w:rsidRPr="00573B43">
        <w:t>, 3 (1) 17 – 25.</w:t>
      </w:r>
    </w:p>
    <w:p w14:paraId="6D470B4F" w14:textId="77777777" w:rsidR="00FA7253" w:rsidRPr="00573B43" w:rsidRDefault="00FA7253" w:rsidP="008C09A0"/>
    <w:p w14:paraId="1B4C4F5D" w14:textId="77777777" w:rsidR="008C09A0" w:rsidRPr="00573B43" w:rsidRDefault="008C09A0" w:rsidP="008C09A0">
      <w:r w:rsidRPr="00573B43">
        <w:t>Lipke, H (2012) The preferred emotion and the use of assessment questions in the history and preparation phases of standard EMDR.</w:t>
      </w:r>
    </w:p>
    <w:p w14:paraId="598D6AA4" w14:textId="77777777" w:rsidR="008D260C" w:rsidRPr="00573B43" w:rsidRDefault="00CE5B51" w:rsidP="008C09A0">
      <w:hyperlink r:id="rId8" w:history="1">
        <w:r w:rsidR="008D260C" w:rsidRPr="00573B43">
          <w:rPr>
            <w:rStyle w:val="Hyperlink"/>
          </w:rPr>
          <w:t>www.HowardLipke.com</w:t>
        </w:r>
      </w:hyperlink>
      <w:r w:rsidR="008C09A0" w:rsidRPr="00573B43">
        <w:t>.</w:t>
      </w:r>
    </w:p>
    <w:p w14:paraId="2140F6D6" w14:textId="77777777" w:rsidR="008D260C" w:rsidRPr="00573B43" w:rsidRDefault="008D260C" w:rsidP="008C09A0"/>
    <w:p w14:paraId="544A40BD" w14:textId="77777777" w:rsidR="008C09A0" w:rsidRPr="00573B43" w:rsidRDefault="008D260C" w:rsidP="008C09A0">
      <w:r w:rsidRPr="00573B43">
        <w:t>Lipke, H (2015) The Great Lake Events Questionnaire (GLEQ). www.HowardLipke.com.</w:t>
      </w:r>
    </w:p>
    <w:p w14:paraId="3FA27A10" w14:textId="77777777" w:rsidR="004262FA" w:rsidRPr="00573B43" w:rsidRDefault="004262FA" w:rsidP="009B4F78"/>
    <w:p w14:paraId="20E37203" w14:textId="77777777" w:rsidR="007C6EBA" w:rsidRDefault="007C6EBA"/>
    <w:sectPr w:rsidR="007C6EBA" w:rsidSect="007C6EB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9D293" w14:textId="77777777" w:rsidR="000378A5" w:rsidRDefault="000378A5" w:rsidP="00FB108C">
      <w:r>
        <w:separator/>
      </w:r>
    </w:p>
  </w:endnote>
  <w:endnote w:type="continuationSeparator" w:id="0">
    <w:p w14:paraId="7DF25325" w14:textId="77777777" w:rsidR="000378A5" w:rsidRDefault="000378A5" w:rsidP="00FB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219D" w14:textId="77777777" w:rsidR="000378A5" w:rsidRDefault="000378A5" w:rsidP="008F7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A9BA1" w14:textId="77777777" w:rsidR="000378A5" w:rsidRDefault="000378A5" w:rsidP="00FB10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3ED9" w14:textId="77777777" w:rsidR="000378A5" w:rsidRDefault="000378A5" w:rsidP="008F7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B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5EE9C6" w14:textId="77777777" w:rsidR="000378A5" w:rsidRDefault="000378A5" w:rsidP="00FB10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BB16B" w14:textId="77777777" w:rsidR="000378A5" w:rsidRDefault="000378A5" w:rsidP="00FB108C">
      <w:r>
        <w:separator/>
      </w:r>
    </w:p>
  </w:footnote>
  <w:footnote w:type="continuationSeparator" w:id="0">
    <w:p w14:paraId="061C368C" w14:textId="77777777" w:rsidR="000378A5" w:rsidRDefault="000378A5" w:rsidP="00FB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1D4"/>
    <w:multiLevelType w:val="hybridMultilevel"/>
    <w:tmpl w:val="AA225618"/>
    <w:lvl w:ilvl="0" w:tplc="2B06DEBE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330C"/>
    <w:multiLevelType w:val="hybridMultilevel"/>
    <w:tmpl w:val="8944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0F8F"/>
    <w:multiLevelType w:val="multilevel"/>
    <w:tmpl w:val="193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6"/>
    <w:rsid w:val="000144E7"/>
    <w:rsid w:val="000204C8"/>
    <w:rsid w:val="00026A37"/>
    <w:rsid w:val="000378A5"/>
    <w:rsid w:val="00042E66"/>
    <w:rsid w:val="000432CA"/>
    <w:rsid w:val="0004730F"/>
    <w:rsid w:val="000539EF"/>
    <w:rsid w:val="00055560"/>
    <w:rsid w:val="000657A9"/>
    <w:rsid w:val="00067558"/>
    <w:rsid w:val="00090732"/>
    <w:rsid w:val="000A4830"/>
    <w:rsid w:val="000B627B"/>
    <w:rsid w:val="000B7C34"/>
    <w:rsid w:val="000D0C88"/>
    <w:rsid w:val="000E1CD9"/>
    <w:rsid w:val="000E2F14"/>
    <w:rsid w:val="000E4D5E"/>
    <w:rsid w:val="000E7605"/>
    <w:rsid w:val="001215F7"/>
    <w:rsid w:val="00124B72"/>
    <w:rsid w:val="001329CC"/>
    <w:rsid w:val="001410AB"/>
    <w:rsid w:val="00153D96"/>
    <w:rsid w:val="001725EF"/>
    <w:rsid w:val="001876B2"/>
    <w:rsid w:val="00190076"/>
    <w:rsid w:val="001A6F07"/>
    <w:rsid w:val="001A70EA"/>
    <w:rsid w:val="001C12AF"/>
    <w:rsid w:val="001F5565"/>
    <w:rsid w:val="00210F66"/>
    <w:rsid w:val="00222842"/>
    <w:rsid w:val="00227998"/>
    <w:rsid w:val="00265098"/>
    <w:rsid w:val="00270E58"/>
    <w:rsid w:val="00271AD9"/>
    <w:rsid w:val="00283A28"/>
    <w:rsid w:val="002E5FC5"/>
    <w:rsid w:val="002F4034"/>
    <w:rsid w:val="003524FD"/>
    <w:rsid w:val="00383555"/>
    <w:rsid w:val="003A1A10"/>
    <w:rsid w:val="003C63F4"/>
    <w:rsid w:val="003D72E0"/>
    <w:rsid w:val="003E31CE"/>
    <w:rsid w:val="003F3B87"/>
    <w:rsid w:val="0040759D"/>
    <w:rsid w:val="00415914"/>
    <w:rsid w:val="00420DAE"/>
    <w:rsid w:val="00422FE8"/>
    <w:rsid w:val="004262FA"/>
    <w:rsid w:val="00427D19"/>
    <w:rsid w:val="004A3E63"/>
    <w:rsid w:val="004C6439"/>
    <w:rsid w:val="004D55AC"/>
    <w:rsid w:val="004D63C2"/>
    <w:rsid w:val="005036E1"/>
    <w:rsid w:val="00512FEC"/>
    <w:rsid w:val="005171C0"/>
    <w:rsid w:val="005247D0"/>
    <w:rsid w:val="00573B43"/>
    <w:rsid w:val="0058704D"/>
    <w:rsid w:val="0059709F"/>
    <w:rsid w:val="005A53A4"/>
    <w:rsid w:val="005A74BD"/>
    <w:rsid w:val="005B2B3D"/>
    <w:rsid w:val="005C2E27"/>
    <w:rsid w:val="005D1A21"/>
    <w:rsid w:val="005D2DA9"/>
    <w:rsid w:val="005E1821"/>
    <w:rsid w:val="005E65EA"/>
    <w:rsid w:val="00604D96"/>
    <w:rsid w:val="00646C48"/>
    <w:rsid w:val="00677CD9"/>
    <w:rsid w:val="0068193D"/>
    <w:rsid w:val="00682361"/>
    <w:rsid w:val="00683EE9"/>
    <w:rsid w:val="006B3BAE"/>
    <w:rsid w:val="006F769F"/>
    <w:rsid w:val="00703F98"/>
    <w:rsid w:val="007043CE"/>
    <w:rsid w:val="00707E9E"/>
    <w:rsid w:val="00742F2B"/>
    <w:rsid w:val="00753C7D"/>
    <w:rsid w:val="007C1E74"/>
    <w:rsid w:val="007C55FD"/>
    <w:rsid w:val="007C6EBA"/>
    <w:rsid w:val="007D6BDD"/>
    <w:rsid w:val="007E1F09"/>
    <w:rsid w:val="007E6FBB"/>
    <w:rsid w:val="007F1FD2"/>
    <w:rsid w:val="007F571A"/>
    <w:rsid w:val="0080070D"/>
    <w:rsid w:val="008031E6"/>
    <w:rsid w:val="00804EC2"/>
    <w:rsid w:val="00837E47"/>
    <w:rsid w:val="00874DF5"/>
    <w:rsid w:val="008801AD"/>
    <w:rsid w:val="00882754"/>
    <w:rsid w:val="00885644"/>
    <w:rsid w:val="008A0BAE"/>
    <w:rsid w:val="008B56E6"/>
    <w:rsid w:val="008C09A0"/>
    <w:rsid w:val="008C275E"/>
    <w:rsid w:val="008C410C"/>
    <w:rsid w:val="008D260C"/>
    <w:rsid w:val="008E55E0"/>
    <w:rsid w:val="008E76D6"/>
    <w:rsid w:val="008F2112"/>
    <w:rsid w:val="008F62B9"/>
    <w:rsid w:val="008F70B9"/>
    <w:rsid w:val="009045BE"/>
    <w:rsid w:val="00914122"/>
    <w:rsid w:val="00917745"/>
    <w:rsid w:val="009337A0"/>
    <w:rsid w:val="009352E6"/>
    <w:rsid w:val="009473C1"/>
    <w:rsid w:val="009A5B4E"/>
    <w:rsid w:val="009B10E5"/>
    <w:rsid w:val="009B4F78"/>
    <w:rsid w:val="009D1718"/>
    <w:rsid w:val="009D28D7"/>
    <w:rsid w:val="009D3A6E"/>
    <w:rsid w:val="009F456C"/>
    <w:rsid w:val="00A1513D"/>
    <w:rsid w:val="00A1762C"/>
    <w:rsid w:val="00A51626"/>
    <w:rsid w:val="00A94F24"/>
    <w:rsid w:val="00AA5A3C"/>
    <w:rsid w:val="00AE0A13"/>
    <w:rsid w:val="00AE4527"/>
    <w:rsid w:val="00AF7F44"/>
    <w:rsid w:val="00B02D7F"/>
    <w:rsid w:val="00B032DE"/>
    <w:rsid w:val="00B35654"/>
    <w:rsid w:val="00B36B39"/>
    <w:rsid w:val="00B45FED"/>
    <w:rsid w:val="00B548B4"/>
    <w:rsid w:val="00BD4AF7"/>
    <w:rsid w:val="00BD5A7A"/>
    <w:rsid w:val="00BF3846"/>
    <w:rsid w:val="00BF60C3"/>
    <w:rsid w:val="00C1591E"/>
    <w:rsid w:val="00C170D0"/>
    <w:rsid w:val="00C201DA"/>
    <w:rsid w:val="00C316BE"/>
    <w:rsid w:val="00C422B6"/>
    <w:rsid w:val="00C46E75"/>
    <w:rsid w:val="00C91527"/>
    <w:rsid w:val="00C950CB"/>
    <w:rsid w:val="00CA5B39"/>
    <w:rsid w:val="00CD08E6"/>
    <w:rsid w:val="00CE5B51"/>
    <w:rsid w:val="00CF7403"/>
    <w:rsid w:val="00D10A4C"/>
    <w:rsid w:val="00D24BA5"/>
    <w:rsid w:val="00D26B37"/>
    <w:rsid w:val="00D47BE4"/>
    <w:rsid w:val="00D5634C"/>
    <w:rsid w:val="00D63372"/>
    <w:rsid w:val="00D66C5E"/>
    <w:rsid w:val="00D730FB"/>
    <w:rsid w:val="00D83685"/>
    <w:rsid w:val="00D94B0E"/>
    <w:rsid w:val="00DA1524"/>
    <w:rsid w:val="00DC4105"/>
    <w:rsid w:val="00DC5B78"/>
    <w:rsid w:val="00DD13B0"/>
    <w:rsid w:val="00DE137C"/>
    <w:rsid w:val="00DE5A7A"/>
    <w:rsid w:val="00E04D30"/>
    <w:rsid w:val="00E0780E"/>
    <w:rsid w:val="00E11884"/>
    <w:rsid w:val="00E120B3"/>
    <w:rsid w:val="00E141E6"/>
    <w:rsid w:val="00E36D2E"/>
    <w:rsid w:val="00E41720"/>
    <w:rsid w:val="00E6026D"/>
    <w:rsid w:val="00E8478B"/>
    <w:rsid w:val="00ED0D15"/>
    <w:rsid w:val="00ED525E"/>
    <w:rsid w:val="00ED6AD9"/>
    <w:rsid w:val="00F14486"/>
    <w:rsid w:val="00F22A5C"/>
    <w:rsid w:val="00F55B8A"/>
    <w:rsid w:val="00F55EE9"/>
    <w:rsid w:val="00F66B4C"/>
    <w:rsid w:val="00F67C62"/>
    <w:rsid w:val="00F77B00"/>
    <w:rsid w:val="00F93CB4"/>
    <w:rsid w:val="00F97D18"/>
    <w:rsid w:val="00FA7253"/>
    <w:rsid w:val="00FB108C"/>
    <w:rsid w:val="00FB1720"/>
    <w:rsid w:val="00FD4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1D3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HAnsi" w:hAnsi="Helvetica Neue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6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47BE4"/>
    <w:pPr>
      <w:spacing w:beforeLines="1" w:afterLines="1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2E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1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8C"/>
    <w:rPr>
      <w:rFonts w:ascii="Times" w:hAnsi="Times"/>
      <w:sz w:val="3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B10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HAnsi" w:hAnsi="Helvetica Neue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6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47BE4"/>
    <w:pPr>
      <w:spacing w:beforeLines="1" w:afterLines="1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2E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1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8C"/>
    <w:rPr>
      <w:rFonts w:ascii="Times" w:hAnsi="Times"/>
      <w:sz w:val="3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B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owardLipke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1134</Words>
  <Characters>6466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Howard/Lipke</dc:creator>
  <cp:keywords/>
  <cp:lastModifiedBy>Howard Lipke</cp:lastModifiedBy>
  <cp:revision>4</cp:revision>
  <cp:lastPrinted>2015-02-20T16:57:00Z</cp:lastPrinted>
  <dcterms:created xsi:type="dcterms:W3CDTF">2017-08-20T22:07:00Z</dcterms:created>
  <dcterms:modified xsi:type="dcterms:W3CDTF">2017-08-20T22:25:00Z</dcterms:modified>
</cp:coreProperties>
</file>